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80" w:lineRule="auto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МАТЕРИАЛ</w:t>
      </w:r>
    </w:p>
    <w:p w:rsidR="00000000" w:rsidDel="00000000" w:rsidP="00000000" w:rsidRDefault="00000000" w:rsidRPr="00000000" w14:paraId="00000002">
      <w:pPr>
        <w:spacing w:after="0" w:line="280" w:lineRule="auto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для членов информационно-пропагандистских групп</w:t>
      </w:r>
    </w:p>
    <w:p w:rsidR="00000000" w:rsidDel="00000000" w:rsidP="00000000" w:rsidRDefault="00000000" w:rsidRPr="00000000" w14:paraId="00000003">
      <w:pPr>
        <w:spacing w:after="0" w:line="280" w:lineRule="auto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(март 2026 г.)</w:t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СОВРЕМЕННЫЕ ПОДХОДЫ К РАЗВИТИЮ РЕГИОНОВ: </w:t>
        <w:br w:type="textWrapping"/>
        <w:t xml:space="preserve">ОТ ЭКОНОМИКИ ДО СОЦИАЛЬНОЙ ИНФРАСТРУКТУРЫ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120" w:before="120" w:line="280" w:lineRule="auto"/>
        <w:ind w:firstLine="851"/>
        <w:jc w:val="both"/>
        <w:rPr>
          <w:rFonts w:ascii="Times New Roman" w:cs="Times New Roman" w:eastAsia="Times New Roman" w:hAnsi="Times New Roman"/>
          <w:i w:val="1"/>
          <w:i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rtl w:val="0"/>
        </w:rPr>
        <w:t xml:space="preserve">Вниманию выступающих: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2"/>
          <w:szCs w:val="32"/>
          <w:rtl w:val="0"/>
        </w:rPr>
        <w:t xml:space="preserve">в ходе проведения единого дня информирования целесообразно приводить соответствующие сведения и примеры применительно к конкретному региону, населенному пункту.</w:t>
      </w:r>
    </w:p>
    <w:p w:rsidR="00000000" w:rsidDel="00000000" w:rsidP="00000000" w:rsidRDefault="00000000" w:rsidRPr="00000000" w14:paraId="00000008">
      <w:pPr>
        <w:widowControl w:val="0"/>
        <w:spacing w:after="120" w:before="120" w:line="280" w:lineRule="auto"/>
        <w:ind w:firstLine="851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Слайд 1.</w:t>
      </w:r>
    </w:p>
    <w:p w:rsidR="00000000" w:rsidDel="00000000" w:rsidP="00000000" w:rsidRDefault="00000000" w:rsidRPr="00000000" w14:paraId="0000000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</w:rPr>
        <w:drawing>
          <wp:inline distB="0" distT="0" distL="0" distR="0">
            <wp:extent cx="4219360" cy="237339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9360" cy="2373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Сильные регионы являются приоритетом программ социально-экономического развития Республики Беларусь уже второе пятилетие.</w:t>
      </w:r>
    </w:p>
    <w:p w:rsidR="00000000" w:rsidDel="00000000" w:rsidP="00000000" w:rsidRDefault="00000000" w:rsidRPr="00000000" w14:paraId="0000000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Обеспечение комплексного подхода к росту благосостояния населения в регионах, равномерное развитие территорий, недопущение разрыва между городом и селом, столицей и регионами являются основными задачами внутренней политики республики.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Слайд 2.</w:t>
      </w:r>
    </w:p>
    <w:p w:rsidR="00000000" w:rsidDel="00000000" w:rsidP="00000000" w:rsidRDefault="00000000" w:rsidRPr="00000000" w14:paraId="0000000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</w:rPr>
        <w:drawing>
          <wp:inline distB="0" distT="0" distL="0" distR="0">
            <wp:extent cx="4162302" cy="234129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62302" cy="2341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120" w:line="28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Справочно:</w:t>
      </w:r>
    </w:p>
    <w:p w:rsidR="00000000" w:rsidDel="00000000" w:rsidP="00000000" w:rsidRDefault="00000000" w:rsidRPr="00000000" w14:paraId="00000011">
      <w:pPr>
        <w:spacing w:after="0" w:line="24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По данным Белстата в Республике Беларусь насчитывается </w:t>
        <w:br w:type="textWrapping"/>
        <w:t xml:space="preserve">118 районов, 115 городов, 85 поселков городского типа, 22 990 сельских населенных пунктов.</w:t>
      </w:r>
    </w:p>
    <w:p w:rsidR="00000000" w:rsidDel="00000000" w:rsidP="00000000" w:rsidRDefault="00000000" w:rsidRPr="00000000" w14:paraId="00000012">
      <w:pPr>
        <w:spacing w:after="0" w:line="24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По состоянию на 1 января 2025 г. в Республике Беларусь проживало 7 182 690 городского населения (78,9%) и 1 926 590 – сельского (21,1%).</w:t>
      </w:r>
    </w:p>
    <w:p w:rsidR="00000000" w:rsidDel="00000000" w:rsidP="00000000" w:rsidRDefault="00000000" w:rsidRPr="00000000" w14:paraId="00000013">
      <w:pPr>
        <w:spacing w:after="120" w:line="24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В разрезе областей соотношение городского и сельского населения следующее: в Брестской обл. 72,7% и 27,3% соответственно; Витебской – 79,1% и 20,9%; Гомельской – 78,4% и 21,6%; Гродненской – 77,9% и 22,1%; Минской – 54,6% и 45,4%; Могилевской – 81,3% и 18,7%.</w:t>
      </w:r>
    </w:p>
    <w:p w:rsidR="00000000" w:rsidDel="00000000" w:rsidP="00000000" w:rsidRDefault="00000000" w:rsidRPr="00000000" w14:paraId="0000001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В последние два десятилетия в Республике Беларусь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отмечается усиление процессов урбанизации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 И если в 2005 году доля сельского населения составляла 28,1%, то в 2025 году – 21,1%. Очевидно, что эти процессы соответствуют мировым тенденциям. Однако напомним слова Президента Республики Беларусь А.Г.Лукашенко в ходе обращения с Посланием к белорусскому народу и Национальному собранию </w:t>
        <w:br w:type="textWrapping"/>
        <w:t xml:space="preserve">18 декабря 2025 г.: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30"/>
          <w:szCs w:val="30"/>
          <w:rtl w:val="0"/>
        </w:rPr>
        <w:t xml:space="preserve"> «Моя задача – спасти деревню, чтобы это не были пустые покосившиеся хаты. Чтоб там жили люди, где только возможно… потому что деревня – основа, основа основ нашей жизни. Не будет деревни – погибнем, государство существовать без этого </w:t>
        <w:br w:type="textWrapping"/>
        <w:t xml:space="preserve">не может»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Создание условий для устойчивого развития сельских территорий – одна из важнейших стратегических целей государственной политики, достижение которой позволяет обеспечивать национальную продовольственную безопасность, конкурентоспособность аграрной экономики и благосостояние граждан страны.</w:t>
      </w:r>
    </w:p>
    <w:p w:rsidR="00000000" w:rsidDel="00000000" w:rsidP="00000000" w:rsidRDefault="00000000" w:rsidRPr="00000000" w14:paraId="0000001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В 2026–2030 гг. будет продолжено развитие 8 городов-спутников </w:t>
        <w:br w:type="textWrapping"/>
        <w:t xml:space="preserve">в Брестской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(г.Жабинка)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, Гродненской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(г.Скидель)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, Минской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(города Дзержинск, Заславль, Логойск, Смолевичи, Фаниполь, г.п.Руденск)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областях как территорий с городской средой повышенной комфортности, оснащенных необходимой инфраструктурой.</w:t>
      </w:r>
    </w:p>
    <w:p w:rsidR="00000000" w:rsidDel="00000000" w:rsidP="00000000" w:rsidRDefault="00000000" w:rsidRPr="00000000" w14:paraId="00000017">
      <w:pPr>
        <w:spacing w:after="12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Слайд 3.</w:t>
      </w:r>
    </w:p>
    <w:p w:rsidR="00000000" w:rsidDel="00000000" w:rsidP="00000000" w:rsidRDefault="00000000" w:rsidRPr="00000000" w14:paraId="0000001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</w:rPr>
        <w:drawing>
          <wp:inline distB="0" distT="0" distL="0" distR="0">
            <wp:extent cx="3989855" cy="2244294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89855" cy="22442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Свою эффективность в вопросе территориального развития Беларуси доказали программно-целевой подход и конкретные государственные программы, направленные на усиление регионов.</w:t>
      </w:r>
    </w:p>
    <w:p w:rsidR="00000000" w:rsidDel="00000000" w:rsidP="00000000" w:rsidRDefault="00000000" w:rsidRPr="00000000" w14:paraId="0000001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Вспомним первый такой территориально ориентированный документ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Госпрограмма возрождения и развития села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(2005–2010 гг.)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 Она затронула огромное количество людей, придала импульс развитию сельских населенных пунктов, в том числе отдаленных от областных, районных центров.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Слайд 4.</w:t>
      </w:r>
    </w:p>
    <w:p w:rsidR="00000000" w:rsidDel="00000000" w:rsidP="00000000" w:rsidRDefault="00000000" w:rsidRPr="00000000" w14:paraId="0000001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</w:rPr>
        <w:drawing>
          <wp:inline distB="0" distT="0" distL="0" distR="0">
            <wp:extent cx="4151289" cy="2335101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51289" cy="23351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120" w:line="28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Справочно:</w:t>
      </w:r>
    </w:p>
    <w:p w:rsidR="00000000" w:rsidDel="00000000" w:rsidP="00000000" w:rsidRDefault="00000000" w:rsidRPr="00000000" w14:paraId="0000001E">
      <w:pPr>
        <w:spacing w:after="12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За 20 лет по инициативе Главы государства А.Г.Лукашенко</w:t>
        <w:br w:type="textWrapping"/>
        <w:t xml:space="preserve">в Беларуси реализована серия госпрограмм по развитию сельских территорий, агропромышленного комплекса: Государственная программа возрождения и развития села на 2005–2010 гг.; Государственная программа устойчивого развития села на 2011–2015 гг.; Государственная программа развития аграрного бизнеса в Республике Беларусь на 2016–2020 гг.; Государственная программа «Аграрный бизнес» на 2021–2025 гг. А в декабре 2025 г. была утверждена еще одна масштабная Государственная программа «АПК будущего» на 2026–2030 гг. Это свидетельствует о последовательности в развитии агропромышленного комплекса страны.</w:t>
      </w:r>
    </w:p>
    <w:p w:rsidR="00000000" w:rsidDel="00000000" w:rsidP="00000000" w:rsidRDefault="00000000" w:rsidRPr="00000000" w14:paraId="0000001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Сегодня мы наблюдаем очевидный положительный эффект: вырос уровень сельскохозяйственного производства, появились агрогородки с современной инфраструктурой, развиваются фермерские хозяйства и агроэкотуризм. </w:t>
      </w:r>
    </w:p>
    <w:p w:rsidR="00000000" w:rsidDel="00000000" w:rsidP="00000000" w:rsidRDefault="00000000" w:rsidRPr="00000000" w14:paraId="00000020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Ключевая концепция социально-экономического развития Беларуси нового пятилетия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сформировать самодостаточное и конкурентоспособное государство, в центре внимания которого – человек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 Основная цель – переход к новому качеству жизни каждого белоруса.</w:t>
      </w:r>
    </w:p>
    <w:p w:rsidR="00000000" w:rsidDel="00000000" w:rsidP="00000000" w:rsidRDefault="00000000" w:rsidRPr="00000000" w14:paraId="0000002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bookmarkStart w:colFirst="0" w:colLast="0" w:name="_ty76ffwsegov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Основной вектор региональной политики – создание благоприятных условий для работы, ведения бизнеса, самореализации и комфортной жизни людей в любом населенном пункте страны.</w:t>
      </w:r>
    </w:p>
    <w:p w:rsidR="00000000" w:rsidDel="00000000" w:rsidP="00000000" w:rsidRDefault="00000000" w:rsidRPr="00000000" w14:paraId="0000002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Если говорить простыми словами, то мы хотим добиться следующего: чтобы территории за пределами г.Минска и областных центров стали привлекательными для жизни и работы. Чтобы стал популярен сельский образ жизни. Н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а это была направлена и Программа социально-экономического развития Республики Беларусь на 2021–2025 гг.</w:t>
      </w:r>
    </w:p>
    <w:p w:rsidR="00000000" w:rsidDel="00000000" w:rsidP="00000000" w:rsidRDefault="00000000" w:rsidRPr="00000000" w14:paraId="00000023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Среди основных результатов регионального развития: </w:t>
      </w:r>
    </w:p>
    <w:p w:rsidR="00000000" w:rsidDel="00000000" w:rsidP="00000000" w:rsidRDefault="00000000" w:rsidRPr="00000000" w14:paraId="0000002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наращивание экономического потенциала за счет роста валового регионального продукта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(далее – ВРП)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во всех регионах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(от 101,8% в Витебской области до 110,6% – в Брестской)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Очевидно, что сохраняется положительная динамика в региональном развитии;</w:t>
      </w:r>
    </w:p>
    <w:p w:rsidR="00000000" w:rsidDel="00000000" w:rsidP="00000000" w:rsidRDefault="00000000" w:rsidRPr="00000000" w14:paraId="00000025">
      <w:pPr>
        <w:spacing w:after="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Слайд 5.</w:t>
      </w:r>
    </w:p>
    <w:p w:rsidR="00000000" w:rsidDel="00000000" w:rsidP="00000000" w:rsidRDefault="00000000" w:rsidRPr="00000000" w14:paraId="0000002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</w:rPr>
        <w:drawing>
          <wp:inline distB="0" distT="0" distL="0" distR="0">
            <wp:extent cx="4101132" cy="2306887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01132" cy="23068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120" w:line="28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Справочно:</w:t>
      </w:r>
    </w:p>
    <w:p w:rsidR="00000000" w:rsidDel="00000000" w:rsidP="00000000" w:rsidRDefault="00000000" w:rsidRPr="00000000" w14:paraId="00000028">
      <w:pPr>
        <w:spacing w:after="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Среди лидеров по темпам роста и вкладу в ВРП:</w:t>
      </w:r>
    </w:p>
    <w:p w:rsidR="00000000" w:rsidDel="00000000" w:rsidP="00000000" w:rsidRDefault="00000000" w:rsidRPr="00000000" w14:paraId="00000029">
      <w:pPr>
        <w:spacing w:after="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обрабатывающая промышленность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рост обеспечен в 6 из 7 регионов (кроме Витебской области, от 101,8% в Могилевской области до 121,8% – в Брестской области);</w:t>
      </w:r>
    </w:p>
    <w:p w:rsidR="00000000" w:rsidDel="00000000" w:rsidP="00000000" w:rsidRDefault="00000000" w:rsidRPr="00000000" w14:paraId="0000002A">
      <w:pPr>
        <w:spacing w:after="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торговля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во всех регионах (от 102,2% в г.Минске до 128,1% –</w:t>
        <w:br w:type="textWrapping"/>
        <w:t xml:space="preserve">в Витебской области);</w:t>
      </w:r>
    </w:p>
    <w:p w:rsidR="00000000" w:rsidDel="00000000" w:rsidP="00000000" w:rsidRDefault="00000000" w:rsidRPr="00000000" w14:paraId="0000002B">
      <w:pPr>
        <w:spacing w:after="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сельское, лесное и рыбное хозяйство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в 4 из 6 областей (кроме Витебской и Гомельской областей, от 100,9% в Минской области до 111,7% – в Брестской области);</w:t>
      </w:r>
    </w:p>
    <w:p w:rsidR="00000000" w:rsidDel="00000000" w:rsidP="00000000" w:rsidRDefault="00000000" w:rsidRPr="00000000" w14:paraId="0000002C">
      <w:pPr>
        <w:spacing w:after="12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строительство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(кроме Гомельской и Гродненской областей, от 103,0% в Витебской области до 141,0% в Могилевской области).</w:t>
      </w:r>
    </w:p>
    <w:p w:rsidR="00000000" w:rsidDel="00000000" w:rsidP="00000000" w:rsidRDefault="00000000" w:rsidRPr="00000000" w14:paraId="0000002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промышленный комплекс регионов характеризуется устойчивой работой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 Не только сохранены объемы производства, но и сформированы новые точки роста. Р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еализован ряд инвестиционных проектов по созданию новых производств и рабочих мест, освоению новых видов продукции и глубокой переработке местных сырьевых ресурсов. </w:t>
      </w:r>
    </w:p>
    <w:p w:rsidR="00000000" w:rsidDel="00000000" w:rsidP="00000000" w:rsidRDefault="00000000" w:rsidRPr="00000000" w14:paraId="0000002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Созданы такие значимые для регионального развития производства как</w:t>
      </w:r>
      <w:r w:rsidDel="00000000" w:rsidR="00000000" w:rsidRPr="00000000">
        <w:rPr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Белорусская АЭС, Петриковский горно-обогатительный комплекс, Белорусская национальная биотехнологическая корпорация, комплекс гидрокрекинга тяжелых нефтяных остатков ОАО «Мозырский НПЗ», установка замедленного коксования в ОАО «Нафтан», завершены ряд крупных проектов деревообработки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и др.</w:t>
      </w:r>
    </w:p>
    <w:p w:rsidR="00000000" w:rsidDel="00000000" w:rsidP="00000000" w:rsidRDefault="00000000" w:rsidRPr="00000000" w14:paraId="0000002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В рамках мероприятий по импортозамещению в регионах в 2025 году велась работа по реализации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189 проектов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на сумму 33,3 млрд рублей;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Слайд 6.</w:t>
      </w:r>
    </w:p>
    <w:p w:rsidR="00000000" w:rsidDel="00000000" w:rsidP="00000000" w:rsidRDefault="00000000" w:rsidRPr="00000000" w14:paraId="0000003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</w:rPr>
        <w:drawing>
          <wp:inline distB="0" distT="0" distL="0" distR="0">
            <wp:extent cx="4572638" cy="2572109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120" w:line="2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Справочно: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Среди наиболее крупных проектов в областях:</w:t>
      </w:r>
    </w:p>
    <w:p w:rsidR="00000000" w:rsidDel="00000000" w:rsidP="00000000" w:rsidRDefault="00000000" w:rsidRPr="00000000" w14:paraId="00000034">
      <w:pPr>
        <w:spacing w:after="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Брестской области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организация производства в Республике Беларусь самолетов, деталей и сборочных единиц, технологической оснастки в рамках промышленной кооперации с авиастроительными предприятиями Российской Федерации, расширение действующего производства ДСП ОАО «Ивацевичдрев»;</w:t>
      </w:r>
    </w:p>
    <w:p w:rsidR="00000000" w:rsidDel="00000000" w:rsidP="00000000" w:rsidRDefault="00000000" w:rsidRPr="00000000" w14:paraId="00000035">
      <w:pPr>
        <w:spacing w:after="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Витебской области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строительство новой этиленпропиленовой установки на заводе «Полимир» ОАО «Нафтан», создание линейки зубообрабатывающего оборудования и организация его производства в ОАО «ВИСТАН»;</w:t>
      </w:r>
    </w:p>
    <w:p w:rsidR="00000000" w:rsidDel="00000000" w:rsidP="00000000" w:rsidRDefault="00000000" w:rsidRPr="00000000" w14:paraId="00000036">
      <w:pPr>
        <w:spacing w:after="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Гомельской области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создание комплекса производства полипропилена в ОАО «Мозырский НПЗ», комплексная модернизация действующих и создание новых производственных мощностей в ОАО «Гомсельмаш»;</w:t>
      </w:r>
    </w:p>
    <w:p w:rsidR="00000000" w:rsidDel="00000000" w:rsidP="00000000" w:rsidRDefault="00000000" w:rsidRPr="00000000" w14:paraId="00000037">
      <w:pPr>
        <w:spacing w:after="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Гродненской области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установка новой картоноделательной машины для производства гильзового картона в ОАО «Слонимский картонно-бумажный завод «Альбертин»;</w:t>
      </w:r>
    </w:p>
    <w:p w:rsidR="00000000" w:rsidDel="00000000" w:rsidP="00000000" w:rsidRDefault="00000000" w:rsidRPr="00000000" w14:paraId="00000038">
      <w:pPr>
        <w:spacing w:after="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Минской области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организация современного роботизированного производства чугунного литья блоков и головок блоков цилиндров с цифровым мониторингом технологического процесса в филиале ОАО «Управляющая компания холдинга «МИНСКИЙ МОТОРНЫЙ ЗАВОД» в г.Столбцы, создание гибкого автоматизированного производства насосов усилителя и индикаторов потока гидравлических систем рулевого управления в ОАО «Борисовский завод «Автогидроусилитель»;</w:t>
      </w:r>
    </w:p>
    <w:p w:rsidR="00000000" w:rsidDel="00000000" w:rsidP="00000000" w:rsidRDefault="00000000" w:rsidRPr="00000000" w14:paraId="00000039">
      <w:pPr>
        <w:spacing w:after="12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Могилевской области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создание производства точного алюминиевого литья» в ОАО «Осиповичский завод автомобильных агрегатов».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развитие сельскохозяйственного производства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(темп производства продукции сельского хозяйства за пятилетку в целом по стране составил 104,2% к 2020 году)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Слайд 7.</w:t>
      </w:r>
    </w:p>
    <w:p w:rsidR="00000000" w:rsidDel="00000000" w:rsidP="00000000" w:rsidRDefault="00000000" w:rsidRPr="00000000" w14:paraId="0000003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</w:rPr>
        <w:drawing>
          <wp:inline distB="0" distT="0" distL="0" distR="0">
            <wp:extent cx="4351785" cy="244788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51785" cy="2447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Как отметил Президент Республики Беларусь А.Г.Лукашенко</w:t>
        <w:br w:type="textWrapping"/>
        <w:t xml:space="preserve">19 января 2026 г. на встрече с губернатором Кировской области Российской Федерации: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30"/>
          <w:szCs w:val="30"/>
          <w:rtl w:val="0"/>
        </w:rPr>
        <w:t xml:space="preserve">«Мы уделяем особое внимание развитию сельского хозяйства, потому что это продовольственная безопасность»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 </w:t>
      </w:r>
    </w:p>
    <w:p w:rsidR="00000000" w:rsidDel="00000000" w:rsidP="00000000" w:rsidRDefault="00000000" w:rsidRPr="00000000" w14:paraId="0000003E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В 2025 году аграрии страны достигли рекордной отметки</w:t>
        <w:br w:type="textWrapping"/>
        <w:t xml:space="preserve">в 9,1 млн т собранных зерновых, 5,8 млн т свеклы сахарной, положительные результаты получены по сбору картофеля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(113,0%</w:t>
        <w:br w:type="textWrapping"/>
        <w:t xml:space="preserve">к 2024 году)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и овощей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(106,5% соответственно)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</w:t>
      </w:r>
    </w:p>
    <w:p w:rsidR="00000000" w:rsidDel="00000000" w:rsidP="00000000" w:rsidRDefault="00000000" w:rsidRPr="00000000" w14:paraId="0000003F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В пятилетке страна перешагнула шеститысячный рубеж по среднему удою на корову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(при этом в 2025 году Брестская область достигла отметки в 8 тыс. кг (8 240 кг), Гродненская и Минская вышли на 7 тыс. кг (7 858 и 7 178 соответственно))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. В сравнении с 2000 годом наша страна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практически в 3 раза увеличила этот показатель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(в среднем по республике удой на корову в тот период составил 2 154 кг)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В 2025 году в сельхозорганизациях производство молока увеличено на 5,3%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(к 2024 году)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, выращивание крупного рогатого скота – на 2,1%, птицы – на 4,4%, производство яиц – на 5,5%;</w:t>
      </w:r>
    </w:p>
    <w:p w:rsidR="00000000" w:rsidDel="00000000" w:rsidP="00000000" w:rsidRDefault="00000000" w:rsidRPr="00000000" w14:paraId="00000041">
      <w:pPr>
        <w:spacing w:after="0" w:before="12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рост благосостояния населения и стабильность потребительского рынка.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За прошедшую пятилетку увеличилась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(в 1,4 раза)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реальная заработная плата. При этом особый акцент в пятилетке был сделан на увеличении заработной платы отдельных категорий работников бюджетной сферы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(врачей, среднего медицинского персонала, учителей и работников сферы культуры)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</w:t>
      </w:r>
    </w:p>
    <w:p w:rsidR="00000000" w:rsidDel="00000000" w:rsidP="00000000" w:rsidRDefault="00000000" w:rsidRPr="00000000" w14:paraId="00000042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Важную роль в покупательской способности играет контроль за ростом цен и тарифов на коммунальные услуги. Именно по этим показателям люди обычно оценивают эффективность принимаемых государством мер.</w:t>
      </w:r>
    </w:p>
    <w:p w:rsidR="00000000" w:rsidDel="00000000" w:rsidP="00000000" w:rsidRDefault="00000000" w:rsidRPr="00000000" w14:paraId="00000043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Принимая отчет Правительства за 2025 год, Президент Республики Беларусь А.Г.Лукашенко поручил продолжить жесткий контроль за ценами и их справедливое формирование.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30"/>
          <w:szCs w:val="30"/>
          <w:rtl w:val="0"/>
        </w:rPr>
        <w:t xml:space="preserve">«Тематика инфляции для людей крайне острая, и ценовой беспредел в нашей стране недопустим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, – подчеркнул Александр Лукашенко.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30"/>
          <w:szCs w:val="30"/>
          <w:rtl w:val="0"/>
        </w:rPr>
        <w:t xml:space="preserve">Контроль за ценами должен быть жестким, а их формирование – справедливым!»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</w:t>
      </w:r>
    </w:p>
    <w:p w:rsidR="00000000" w:rsidDel="00000000" w:rsidP="00000000" w:rsidRDefault="00000000" w:rsidRPr="00000000" w14:paraId="00000044">
      <w:pPr>
        <w:spacing w:after="0" w:before="120" w:line="28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Справочно:</w:t>
      </w:r>
    </w:p>
    <w:p w:rsidR="00000000" w:rsidDel="00000000" w:rsidP="00000000" w:rsidRDefault="00000000" w:rsidRPr="00000000" w14:paraId="00000045">
      <w:pPr>
        <w:spacing w:after="12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Примером социально ориентированной политики белорусского государства является заключение соглашения Министерством антимонопольного регулирования и торговли Республики Беларусь с рядом крупных торговых организаций страны о предоставлении скидок на социально значимые товары первой необходимости для уязвимых категорий населения.</w:t>
      </w:r>
    </w:p>
    <w:p w:rsidR="00000000" w:rsidDel="00000000" w:rsidP="00000000" w:rsidRDefault="00000000" w:rsidRPr="00000000" w14:paraId="00000046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Несмотря на значительный всплеск инфляции в начале пятилетки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(факторы спекулятивного характера)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, ее рост удалось купировать, применив меры государственного регулирования ценообразования и выйдя на диапазон 5–7%.</w:t>
      </w:r>
    </w:p>
    <w:p w:rsidR="00000000" w:rsidDel="00000000" w:rsidP="00000000" w:rsidRDefault="00000000" w:rsidRPr="00000000" w14:paraId="00000047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Также на контроле государства ассортимент товаров и их доступность. Благодаря этому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ситуация на потребительском рынке сохраняется стабильной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, обеспечивается достаточный ассортимент товаров по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доступным ценам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.</w:t>
      </w:r>
    </w:p>
    <w:p w:rsidR="00000000" w:rsidDel="00000000" w:rsidP="00000000" w:rsidRDefault="00000000" w:rsidRPr="00000000" w14:paraId="0000004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Осуществление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торгового обслуживания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доступность товаров на селе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– важное условие комфортной жизни за городом. Особая роль в этом вопросе отводится Белкоопсоюзу – крупнейшему торговому оператору в стране. Из 4,1 тыс. магазинов системы 3 тыс.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(73%)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расположены в сельской местности.</w:t>
      </w:r>
    </w:p>
    <w:p w:rsidR="00000000" w:rsidDel="00000000" w:rsidP="00000000" w:rsidRDefault="00000000" w:rsidRPr="00000000" w14:paraId="0000004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В Беларуси не остаются без внимания даже самые малочисленные населенные пункты. Здесь заботу о сельчанах берет на себя мобильная торговля. Протяженность маршрутов движения автомагазинов достигает до 200 км. Ежегодно их пробег превышает 14 млн км. </w:t>
      </w:r>
    </w:p>
    <w:p w:rsidR="00000000" w:rsidDel="00000000" w:rsidP="00000000" w:rsidRDefault="00000000" w:rsidRPr="00000000" w14:paraId="0000004A">
      <w:pPr>
        <w:spacing w:after="0" w:before="120" w:line="28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Справочно:</w:t>
      </w:r>
    </w:p>
    <w:p w:rsidR="00000000" w:rsidDel="00000000" w:rsidP="00000000" w:rsidRDefault="00000000" w:rsidRPr="00000000" w14:paraId="0000004B">
      <w:pPr>
        <w:spacing w:after="12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Организовано обслуживание 12,8 тыс. населенных пунктов сельской местности, из которых в 80% (10,3 тыс.) проживает менее</w:t>
        <w:br w:type="textWrapping"/>
        <w:t xml:space="preserve">50 жителей. Свыше 4,6 тыс. населенных пунктов – это деревни, где проживает менее 10 человек. В весенне-летний период в графики автомагазинов дополнительно включено порядка 1 100 садоводческих товариществ и дачных кооперативов.</w:t>
      </w:r>
    </w:p>
    <w:p w:rsidR="00000000" w:rsidDel="00000000" w:rsidP="00000000" w:rsidRDefault="00000000" w:rsidRPr="00000000" w14:paraId="0000004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Обслуживание сельского населения в нашей стране является актуальной задачей, связанной с обеспечением равного доступа к услугам и инфраструктуре, несмотря на различия в масштабах и особенностях сельских территорий. Деятельность торговых объектов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(в том числе стационарных)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не всегда экономически оправдана, вместе с тем Белкоопсоюз выполняет возложенные на него социальные функции.</w:t>
      </w:r>
    </w:p>
    <w:p w:rsidR="00000000" w:rsidDel="00000000" w:rsidP="00000000" w:rsidRDefault="00000000" w:rsidRPr="00000000" w14:paraId="0000004D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Значительный вклад в развитие регионов вносит инициатива Главы государства А.Г.Лукашенко «Один район – один проект»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, направленная на активизацию инвестиционной деятельности и укрепление экономики регионов.</w:t>
      </w:r>
    </w:p>
    <w:p w:rsidR="00000000" w:rsidDel="00000000" w:rsidP="00000000" w:rsidRDefault="00000000" w:rsidRPr="00000000" w14:paraId="0000004E">
      <w:pPr>
        <w:spacing w:after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Слайд 8.</w:t>
      </w:r>
    </w:p>
    <w:p w:rsidR="00000000" w:rsidDel="00000000" w:rsidP="00000000" w:rsidRDefault="00000000" w:rsidRPr="00000000" w14:paraId="0000004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/>
        <w:drawing>
          <wp:inline distB="0" distT="0" distL="0" distR="0">
            <wp:extent cx="4249576" cy="2390303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9576" cy="23903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120" w:line="28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Справочно:</w:t>
      </w:r>
    </w:p>
    <w:p w:rsidR="00000000" w:rsidDel="00000000" w:rsidP="00000000" w:rsidRDefault="00000000" w:rsidRPr="00000000" w14:paraId="00000051">
      <w:pPr>
        <w:spacing w:after="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По итогам прошедшей пятилетки завершена реализация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144 проектов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по принципу «Один район – один проект», использовано инвестиций на сумму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3,4 млрд рублей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, создано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6,1 тыс.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новых рабочих мест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52">
      <w:pPr>
        <w:spacing w:after="12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По количеству проектов наибольший удельный вес приходится на обрабатывающую промышленность, а именно: пищевую промышленность – 51 проект; металлургическое производство, производство машин и оборудования – 29 проектов; деревообработку – 29 проектов; а также сельское, лесное и рыбное хозяйство – 23 проекта.</w:t>
      </w:r>
    </w:p>
    <w:p w:rsidR="00000000" w:rsidDel="00000000" w:rsidP="00000000" w:rsidRDefault="00000000" w:rsidRPr="00000000" w14:paraId="00000053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За годы осуществления инициативы «Один район – один проект»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(начиная с 2022 года)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количество проектов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возросло в 1,7 раза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, в ряде регионов обеспечена реализация двух-трех проектов. </w:t>
      </w:r>
    </w:p>
    <w:p w:rsidR="00000000" w:rsidDel="00000000" w:rsidP="00000000" w:rsidRDefault="00000000" w:rsidRPr="00000000" w14:paraId="00000054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Реализация многих проектов обеспечила выпуск новой для Беларуси продукции. К примеру, в г.Дзержинске начат выпуск лесозаготовительной техники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(форвардеров, харвестеров)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в ОАО «АМКОДОР-СЕМАШ» – управляющая компания холдинга». </w:t>
      </w:r>
    </w:p>
    <w:p w:rsidR="00000000" w:rsidDel="00000000" w:rsidP="00000000" w:rsidRDefault="00000000" w:rsidRPr="00000000" w14:paraId="00000055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В Свислочском районе построен крупный деревообрабатывающий комплекс, а в Хотимском, Краснопольском и Чериковском районах созданы рыбохозяйственные производства с суммарным объемом инвестиций более 100 млн рублей.</w:t>
      </w:r>
    </w:p>
    <w:p w:rsidR="00000000" w:rsidDel="00000000" w:rsidP="00000000" w:rsidRDefault="00000000" w:rsidRPr="00000000" w14:paraId="00000056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Значимость инициативы «Один район – один проект» для небольших районов с каждым годом становится все более очевидной. Благодаря возможности пользоваться государственной поддержкой в виде льготных кредитных ресурсов предприятия малого и среднего бизнеса мотивированы к реализации именно производственных проектов. При этом зачастую речь идет о появлении в регионах абсолютно новых направлений деятельности. Такой подход не только укрепляет экономику районов, но и в разы повышает ее потенциал развития.</w:t>
      </w:r>
    </w:p>
    <w:p w:rsidR="00000000" w:rsidDel="00000000" w:rsidP="00000000" w:rsidRDefault="00000000" w:rsidRPr="00000000" w14:paraId="00000057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По словам Главы государства А.Г.Лукашенко,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реализация инициативы «Один район – один проект» является лакмусовой бумажкой работы каждого председателя райисполкома и губернатора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</w:t>
      </w:r>
    </w:p>
    <w:p w:rsidR="00000000" w:rsidDel="00000000" w:rsidP="00000000" w:rsidRDefault="00000000" w:rsidRPr="00000000" w14:paraId="0000005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Однако сильные регионы – это не только динамично развивающаяся экономика, но 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разветвленная социальная инфраструктура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 Доступные современные школы и детские сады, качественная медицинская помощь, многофункциональные физкультурно-оздоровительные комплексы – все это неотъемлемые составляющие формулы «сильные регионы».</w:t>
      </w:r>
    </w:p>
    <w:p w:rsidR="00000000" w:rsidDel="00000000" w:rsidP="00000000" w:rsidRDefault="00000000" w:rsidRPr="00000000" w14:paraId="0000005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Давайте обратим внимание на факты.</w:t>
      </w:r>
    </w:p>
    <w:p w:rsidR="00000000" w:rsidDel="00000000" w:rsidP="00000000" w:rsidRDefault="00000000" w:rsidRPr="00000000" w14:paraId="0000005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Развитие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жилищного фонда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является одним из важнейших направлений социальной политики белорусского государства. Благодаря пристальному вниманию руководства страны к данной теме и принимаемым Главой государства решениям Беларусь занимает одно из лидирующих мест среди стран СНГ по уровню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обеспеченности населения жильем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: в целом по республике в расчете на одного жителя этот показатель увеличился с 28,3 кв. м в 2020 году до 30,4 кв. м в 2024 году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(в том числе в каждом регионе)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, а к 2030 году планируется не менее 33 кв. м.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Слайд 9.</w:t>
      </w:r>
    </w:p>
    <w:p w:rsidR="00000000" w:rsidDel="00000000" w:rsidP="00000000" w:rsidRDefault="00000000" w:rsidRPr="00000000" w14:paraId="0000005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</w:rPr>
        <w:drawing>
          <wp:inline distB="0" distT="0" distL="0" distR="0">
            <wp:extent cx="4167358" cy="2344140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67358" cy="2344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В 2021–2025 гг. увеличены объемы строительства жилья для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многодетных семей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: построено 44,8 тыс. квартир. Это позволило снизить общее количество состоящих на учете многодетных семей.</w:t>
      </w:r>
    </w:p>
    <w:p w:rsidR="00000000" w:rsidDel="00000000" w:rsidP="00000000" w:rsidRDefault="00000000" w:rsidRPr="00000000" w14:paraId="0000005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Активно развивается рынок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индивидуального жилья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. Ежегодно его доля в общем строительстве жилья составляет более 40%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(по итогам 2025 г. – 49,4%)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Набирает темп строительство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арендного жилья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На сегодняшний день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арендное жилье – наиболее приемлемый способ решения жилищного вопроса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. С одной стороны, оно позволяет повысить мобильность трудовых ресурсов и привлечь специалистов в малые и средние города Беларуси. С другой – закрепить молодых специалистов на первом рабочем месте. К слову, в Беларуси в 2026–2030 гг. планируется построить около 5 млн кв. м арендного жилья. Это один из главных приоритетов на будущие годы, основная цель которого – закрепление кадров и развитие регионов.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Слайд 10</w:t>
      </w:r>
    </w:p>
    <w:p w:rsidR="00000000" w:rsidDel="00000000" w:rsidP="00000000" w:rsidRDefault="00000000" w:rsidRPr="00000000" w14:paraId="0000006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</w:rPr>
        <w:drawing>
          <wp:inline distB="0" distT="0" distL="0" distR="0">
            <wp:extent cx="3914570" cy="2201946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4570" cy="22019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before="120" w:line="28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Справочно:</w:t>
      </w:r>
    </w:p>
    <w:p w:rsidR="00000000" w:rsidDel="00000000" w:rsidP="00000000" w:rsidRDefault="00000000" w:rsidRPr="00000000" w14:paraId="00000063">
      <w:pPr>
        <w:spacing w:after="12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В 2025 году в республике введено арендного жилья в 3 раза больше, чем в 2021 году; и в 4 раза больше, чем в 2019 году. </w:t>
      </w:r>
    </w:p>
    <w:p w:rsidR="00000000" w:rsidDel="00000000" w:rsidP="00000000" w:rsidRDefault="00000000" w:rsidRPr="00000000" w14:paraId="0000006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Выросло строительство жилья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сельских населенных пунктах и малых городских поселениях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.</w:t>
      </w:r>
    </w:p>
    <w:p w:rsidR="00000000" w:rsidDel="00000000" w:rsidP="00000000" w:rsidRDefault="00000000" w:rsidRPr="00000000" w14:paraId="0000006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Реализуемая в Беларуси государственная жилищная политика предоставляет нашим гражданам различные варианты решения квартирного вопроса.</w:t>
      </w:r>
    </w:p>
    <w:p w:rsidR="00000000" w:rsidDel="00000000" w:rsidP="00000000" w:rsidRDefault="00000000" w:rsidRPr="00000000" w14:paraId="0000006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Еще одно важное для всех людей направление – это оказание медицинской помощи в необходимом объеме.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Наша система здравоохранения в целом прошла хорошую «закалку» в период пандемии, на фоне других государств Беларусь подтвердила состоятельность нашей системы здравоохранения.</w:t>
      </w:r>
    </w:p>
    <w:p w:rsidR="00000000" w:rsidDel="00000000" w:rsidP="00000000" w:rsidRDefault="00000000" w:rsidRPr="00000000" w14:paraId="0000006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Региональная политика, о которой мы сегодня говорим, направлена на устранение региональных диспропорций одновременно с улучшением качества медицинских услуг.</w:t>
      </w:r>
    </w:p>
    <w:p w:rsidR="00000000" w:rsidDel="00000000" w:rsidP="00000000" w:rsidRDefault="00000000" w:rsidRPr="00000000" w14:paraId="0000006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Каждый белорус, независимо от места проживания, может получить гарантированную квалифицированную медицинскую помощь в любой точке нашей страны. Для этого созданы необходимые условия.</w:t>
      </w:r>
    </w:p>
    <w:p w:rsidR="00000000" w:rsidDel="00000000" w:rsidP="00000000" w:rsidRDefault="00000000" w:rsidRPr="00000000" w14:paraId="0000006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Осуществляют свою деятельность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межрайонные центры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, в которых диагностика и лечение проводятся на высоком уровне. По итогам 2025 года в стране уже работает 16 таких центров.</w:t>
      </w:r>
    </w:p>
    <w:p w:rsidR="00000000" w:rsidDel="00000000" w:rsidP="00000000" w:rsidRDefault="00000000" w:rsidRPr="00000000" w14:paraId="0000006A">
      <w:pPr>
        <w:spacing w:after="120" w:before="12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Слайд 11.</w:t>
      </w:r>
    </w:p>
    <w:p w:rsidR="00000000" w:rsidDel="00000000" w:rsidP="00000000" w:rsidRDefault="00000000" w:rsidRPr="00000000" w14:paraId="0000006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</w:rPr>
        <w:drawing>
          <wp:inline distB="0" distT="0" distL="0" distR="0">
            <wp:extent cx="4572638" cy="2572109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before="120" w:line="28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Справочно:</w:t>
      </w:r>
    </w:p>
    <w:p w:rsidR="00000000" w:rsidDel="00000000" w:rsidP="00000000" w:rsidRDefault="00000000" w:rsidRPr="00000000" w14:paraId="0000006D">
      <w:pPr>
        <w:spacing w:after="12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bookmarkStart w:colFirst="0" w:colLast="0" w:name="_ulzm7vwj4ok5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Межрайонные центры по оказанию специализированной и высокотехнологичной медицинской помощи действуют во всех регионах страны: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Брестская область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г.Брест, г.Барановичи, г.Пинск;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Витебская область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г.Новополоцк, г.Орша;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Гомельская область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г.Жлобин, г.Мозырь;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Гродненская область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г.Волковыск, г.Лида, г.Островец;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Минская область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г.Борисов, г.Молодечно, г.Солигорск;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Могилевская область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– г.Могилев, г.Бобруйск, г.Кричев.</w:t>
      </w:r>
    </w:p>
    <w:p w:rsidR="00000000" w:rsidDel="00000000" w:rsidP="00000000" w:rsidRDefault="00000000" w:rsidRPr="00000000" w14:paraId="0000006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В сельской местности первичная медицинская помощь на 100% оказывается врачами общей практики. При этом все сельские организации здравоохранения обеспечены автотранспортом.</w:t>
      </w:r>
    </w:p>
    <w:p w:rsidR="00000000" w:rsidDel="00000000" w:rsidP="00000000" w:rsidRDefault="00000000" w:rsidRPr="00000000" w14:paraId="0000006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Повышению доступности медицинской помощи населению малонаселенных и отдаленных деревень способствует работа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129 передвижных фельдшерско-акушерских пунктов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с командой специалистов, которые регулярно, в соответствии с утвержденным графиком, приезжают к своим пациентам.</w:t>
      </w:r>
    </w:p>
    <w:p w:rsidR="00000000" w:rsidDel="00000000" w:rsidP="00000000" w:rsidRDefault="00000000" w:rsidRPr="00000000" w14:paraId="00000070">
      <w:pPr>
        <w:widowControl w:val="0"/>
        <w:spacing w:after="0" w:before="120" w:line="28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Справочно:</w:t>
      </w:r>
    </w:p>
    <w:p w:rsidR="00000000" w:rsidDel="00000000" w:rsidP="00000000" w:rsidRDefault="00000000" w:rsidRPr="00000000" w14:paraId="00000071">
      <w:pPr>
        <w:widowControl w:val="0"/>
        <w:spacing w:after="12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В том числе по областям: Брестская – 21, Витебская – 29, Гомельская – 20, Гродненская – 24, Минская – 28, Могилевская – 7.</w:t>
      </w:r>
    </w:p>
    <w:p w:rsidR="00000000" w:rsidDel="00000000" w:rsidP="00000000" w:rsidRDefault="00000000" w:rsidRPr="00000000" w14:paraId="0000007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bookmarkStart w:colFirst="0" w:colLast="0" w:name="_wef2wpr0zti3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Обеспечено бесперебойное функционирование и развитие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скорой медицинской помощи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 В 2021–2025 гг. закуплено 1 063 автомобиля скорой медицинской помощи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(из них в 2025 году – 204)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 Автомобили оснащены системой подачи кислорода и современным оборудованием для разных видов транспортировки пациентов.</w:t>
      </w:r>
    </w:p>
    <w:p w:rsidR="00000000" w:rsidDel="00000000" w:rsidP="00000000" w:rsidRDefault="00000000" w:rsidRPr="00000000" w14:paraId="00000073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За текущую пятилетку планируется построить 83 различных объекта здравоохранения, в том числе 42 больницы и 19 поликлиник,</w:t>
        <w:br w:type="textWrapping"/>
        <w:t xml:space="preserve">18 специализированных медицинских организаций.</w:t>
      </w:r>
    </w:p>
    <w:p w:rsidR="00000000" w:rsidDel="00000000" w:rsidP="00000000" w:rsidRDefault="00000000" w:rsidRPr="00000000" w14:paraId="0000007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bookmarkStart w:colFirst="0" w:colLast="0" w:name="_tam42ovharqt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В целях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приобщения населения к регулярным занятиям физической культурой и спортом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в республике активно развивается спортивная инфраструктура.</w:t>
      </w:r>
    </w:p>
    <w:p w:rsidR="00000000" w:rsidDel="00000000" w:rsidP="00000000" w:rsidRDefault="00000000" w:rsidRPr="00000000" w14:paraId="00000075">
      <w:pPr>
        <w:spacing w:after="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Слайд 12.</w:t>
      </w:r>
    </w:p>
    <w:p w:rsidR="00000000" w:rsidDel="00000000" w:rsidP="00000000" w:rsidRDefault="00000000" w:rsidRPr="00000000" w14:paraId="0000007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</w:rPr>
        <w:drawing>
          <wp:inline distB="0" distT="0" distL="0" distR="0">
            <wp:extent cx="4572638" cy="2572109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33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before="120" w:line="28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Справочно:</w:t>
      </w:r>
    </w:p>
    <w:p w:rsidR="00000000" w:rsidDel="00000000" w:rsidP="00000000" w:rsidRDefault="00000000" w:rsidRPr="00000000" w14:paraId="00000079">
      <w:pPr>
        <w:spacing w:after="12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В стране насчитывается 23 650 физкультурно-спортивных сооружений, из них в регионах: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Брестской области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– 3 504;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Витебской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– 3 789;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Гомельской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– 2 119;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Гродненской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– 3 306;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Минской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– 3 366;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Могилевской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– 3 629.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столице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– 3 937 объектов спортивной инфраструктуры.</w:t>
      </w:r>
    </w:p>
    <w:p w:rsidR="00000000" w:rsidDel="00000000" w:rsidP="00000000" w:rsidRDefault="00000000" w:rsidRPr="00000000" w14:paraId="0000007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При этом физкультурно-спортивные сооружения возводятся не только в крупных городах, но и в районных центрах, городах-спутниках и агрогородках. Например, в сельских населенных пунктах насчитывается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7 624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физкультурно-спортивных сооружений.</w:t>
      </w:r>
    </w:p>
    <w:p w:rsidR="00000000" w:rsidDel="00000000" w:rsidP="00000000" w:rsidRDefault="00000000" w:rsidRPr="00000000" w14:paraId="0000007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А к 2030 году планируется построить еще 27 физкультурно-оздоровительных комплексов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(центров)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, 10 бассейнов, 35 иных спортивных сооружений.</w:t>
      </w:r>
    </w:p>
    <w:p w:rsidR="00000000" w:rsidDel="00000000" w:rsidP="00000000" w:rsidRDefault="00000000" w:rsidRPr="00000000" w14:paraId="0000007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Следующий важный аспект – доступность и качество образования на любом уровне независимо от места проживания.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Сфера образования – это стратегическая отрасль, требующая серьезных вложений. Это наши дети, молодежь. Это – наше будущее. Образование – наш вклад в новые поколения, от которых будет зависеть судьба страны. </w:t>
      </w:r>
    </w:p>
    <w:p w:rsidR="00000000" w:rsidDel="00000000" w:rsidP="00000000" w:rsidRDefault="00000000" w:rsidRPr="00000000" w14:paraId="0000007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В Беларуси выработаны и действуют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государственные социальные стандарты в сфере образования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, что помогает выдерживать генеральную линию.</w:t>
      </w:r>
    </w:p>
    <w:p w:rsidR="00000000" w:rsidDel="00000000" w:rsidP="00000000" w:rsidRDefault="00000000" w:rsidRPr="00000000" w14:paraId="0000007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Так, по итогам 2025 года выполнен с превышением норматив обеспеченности детей раннего и дошкольного возраста местами в учреждениях дошкольного образования – 102,7%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(при нормативе 85%)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Как справедливо отметил Глава государства А.Г.Лукашенко</w:t>
        <w:br w:type="textWrapping"/>
        <w:t xml:space="preserve">18 декабря 2025 г.,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0"/>
          <w:szCs w:val="30"/>
          <w:rtl w:val="0"/>
        </w:rPr>
        <w:t xml:space="preserve">«самое важное – доступность отечественного образования для белорусов. И мы здесь мировые лидеры»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0"/>
          <w:szCs w:val="3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before="12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Слайд 13.</w:t>
      </w:r>
    </w:p>
    <w:p w:rsidR="00000000" w:rsidDel="00000000" w:rsidP="00000000" w:rsidRDefault="00000000" w:rsidRPr="00000000" w14:paraId="0000008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</w:rPr>
        <w:drawing>
          <wp:inline distB="0" distT="0" distL="0" distR="0">
            <wp:extent cx="4572638" cy="2572109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before="120" w:line="28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Справочно:</w:t>
      </w:r>
    </w:p>
    <w:p w:rsidR="00000000" w:rsidDel="00000000" w:rsidP="00000000" w:rsidRDefault="00000000" w:rsidRPr="00000000" w14:paraId="00000083">
      <w:pPr>
        <w:spacing w:after="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По данным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International IQ Test 2026 года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Беларусь вошла в двадцатку стран по уровню интеллекта и заняла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17‑е место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в мировом рейтинге из 137 стран. Беларусь обошла большинство стран Европы и СНГ. Аналитики связывают это с традиционно высоким уровнем базового образования, широким охватом школьников естественно‑научными дисциплинами и растущим интересом молодежи к IT‑специальностям. В последние годы в стране активно развиваются STEM‑направления, инженерные олимпиады и цифровые образовательные проекты.</w:t>
      </w:r>
    </w:p>
    <w:p w:rsidR="00000000" w:rsidDel="00000000" w:rsidP="00000000" w:rsidRDefault="00000000" w:rsidRPr="00000000" w14:paraId="00000084">
      <w:pPr>
        <w:spacing w:after="12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Согласно рейтингу стран мира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по индексу уровня образования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ПРООН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(United Nations Development Programme: Education Index) Беларусь в 2024 году заняла 40-е место среди 193 государств.</w:t>
      </w:r>
    </w:p>
    <w:p w:rsidR="00000000" w:rsidDel="00000000" w:rsidP="00000000" w:rsidRDefault="00000000" w:rsidRPr="00000000" w14:paraId="0000008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Но самое главное: отечественное образование направлено на воспитание гражданина и патриота, который стремится реализовать себя на родной земле, гордится достижениями своей страны, проявляет интерес и уважение к историческому прошлому Беларуси. К слову, в 2025 году большинство белорусской молодежи было вовлечено в общественно-политическую деятельность – 87%.</w:t>
      </w:r>
    </w:p>
    <w:p w:rsidR="00000000" w:rsidDel="00000000" w:rsidP="00000000" w:rsidRDefault="00000000" w:rsidRPr="00000000" w14:paraId="0000008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Стратегическая цель – развитие человеческого потенциала, на это направлена и Государственная программа «Беларусь интеллектуальная» на 2026–2030 гг., целью которой является повышение качества и конкурентоспособности отечественного образования, отвечающего текущим запросам рынка труда и потребности национальной экономики, как успешного развития личности, общества и государства.</w:t>
      </w:r>
    </w:p>
    <w:p w:rsidR="00000000" w:rsidDel="00000000" w:rsidP="00000000" w:rsidRDefault="00000000" w:rsidRPr="00000000" w14:paraId="00000087">
      <w:pPr>
        <w:spacing w:after="0" w:line="240" w:lineRule="auto"/>
        <w:ind w:firstLine="816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Состояние дорожной сети и удобное транспортное сообщение –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также волнующие граждан темы. Наиболее часто вопросы и обращения граждан касаются именно их. Особенно – дорог, которые связывают населенные пункты друг с другом, а также с районным, областным центром, и дорог внутри населенных пунктов.</w:t>
      </w:r>
    </w:p>
    <w:p w:rsidR="00000000" w:rsidDel="00000000" w:rsidP="00000000" w:rsidRDefault="00000000" w:rsidRPr="00000000" w14:paraId="00000088">
      <w:pPr>
        <w:spacing w:after="0" w:line="240" w:lineRule="auto"/>
        <w:ind w:firstLine="816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Поэтому в масштабах страны большое внимание уделяется проведению полного комплекса работ по ремонту и содержанию дорог, повышению надежности мостов в регионах, улучшению эксплуатационного состояния улично-дорожной сети населенных пунктов.</w:t>
      </w:r>
    </w:p>
    <w:p w:rsidR="00000000" w:rsidDel="00000000" w:rsidP="00000000" w:rsidRDefault="00000000" w:rsidRPr="00000000" w14:paraId="00000089">
      <w:pPr>
        <w:spacing w:after="120" w:before="120" w:line="230" w:lineRule="auto"/>
        <w:ind w:firstLine="80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Слайд 14.</w:t>
      </w:r>
    </w:p>
    <w:p w:rsidR="00000000" w:rsidDel="00000000" w:rsidP="00000000" w:rsidRDefault="00000000" w:rsidRPr="00000000" w14:paraId="0000008A">
      <w:pPr>
        <w:spacing w:after="0" w:line="240" w:lineRule="auto"/>
        <w:ind w:firstLine="816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</w:rPr>
        <w:drawing>
          <wp:inline distB="0" distT="0" distL="0" distR="0">
            <wp:extent cx="4572638" cy="2572109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Хорошие дороги – это и удобство, и профилактика дорожно-транспортных происшествий.</w:t>
      </w:r>
    </w:p>
    <w:p w:rsidR="00000000" w:rsidDel="00000000" w:rsidP="00000000" w:rsidRDefault="00000000" w:rsidRPr="00000000" w14:paraId="0000008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Развивается транспортное сообщение. Организациями транспорта общего пользования осуществляется обновление подвижного состава. Только в 2025 году во всех регионах республики закуплено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816 единиц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городской пассажирской техники: 552 автобуса, 172 троллейбуса,</w:t>
        <w:br w:type="textWrapping"/>
        <w:t xml:space="preserve">51 электробус, 41 единица вагонов трамваев и метро. В целом по республике процент обновления подвижного состава городского общественного транспорта в 2026–2030 гг. прогнозируется ежегодно около 10%.</w:t>
      </w:r>
    </w:p>
    <w:p w:rsidR="00000000" w:rsidDel="00000000" w:rsidP="00000000" w:rsidRDefault="00000000" w:rsidRPr="00000000" w14:paraId="0000008E">
      <w:pPr>
        <w:spacing w:after="12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Слайд 15.</w:t>
      </w:r>
    </w:p>
    <w:p w:rsidR="00000000" w:rsidDel="00000000" w:rsidP="00000000" w:rsidRDefault="00000000" w:rsidRPr="00000000" w14:paraId="0000008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</w:rPr>
        <w:drawing>
          <wp:inline distB="0" distT="0" distL="0" distR="0">
            <wp:extent cx="4120669" cy="2317877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0669" cy="23178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В текущей пятилетке перед транспортным комплексом стоят не менее важные задачи. Прежде всего, предстоит обеспечить улучшение дорожной инфраструктуры, развитие быстрого и доступного регионального сообщения.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Особый приоритет – стопроцентное обеспечение уже к концу 2026 года кратчайших маршрутов от райцентров к агрогородкам дорогами с усовершенствованным покрытием.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Параллельно будет вестись преобразование системы пассажирского сообщения.</w:t>
      </w:r>
    </w:p>
    <w:p w:rsidR="00000000" w:rsidDel="00000000" w:rsidP="00000000" w:rsidRDefault="00000000" w:rsidRPr="00000000" w14:paraId="0000009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Развитие скоростного железнодорожного сообщения с городами-спутниками, расширение внутренней маршрутной сети авиаперевозок,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появление обновленных электробусов, возрождение водного транспорта и развитие круизного судоходства – все это направлено на улучшение транспортного сообщения в текущей пятилетке.</w:t>
      </w:r>
    </w:p>
    <w:p w:rsidR="00000000" w:rsidDel="00000000" w:rsidP="00000000" w:rsidRDefault="00000000" w:rsidRPr="00000000" w14:paraId="0000009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Совершенствование транспортной отрасли придало новый импульс развитию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туризма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, который стал брендом Беларуси и повысил ее туристический потенциал.</w:t>
      </w:r>
    </w:p>
    <w:p w:rsidR="00000000" w:rsidDel="00000000" w:rsidP="00000000" w:rsidRDefault="00000000" w:rsidRPr="00000000" w14:paraId="00000093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Туризм – важное и актуальное направление для Беларуси. Это подтверждает тот факт, что реализация туристического потенциала – один из семи приоритетов Программы социально-экономического развития Беларуси на 2026–2030 гг. Например, с 2021 по 2024 год многие показатели в этой сфере выросли в разы. Численность организованных иностранных туристов и экскурсантов, посетивших Беларусь, увеличилась за этот период с 71,4 тыс. до почти 367 тыс. человек. Численность организованных туристов и экскурсантов – белорусских граждан, отправленных по маршрутам туров по стране, –</w:t>
        <w:br w:type="textWrapping"/>
        <w:t xml:space="preserve">в 2024 году составила 1,7 млн человек (в 2021 году – 1,2 млн).</w:t>
      </w:r>
    </w:p>
    <w:p w:rsidR="00000000" w:rsidDel="00000000" w:rsidP="00000000" w:rsidRDefault="00000000" w:rsidRPr="00000000" w14:paraId="00000094">
      <w:pPr>
        <w:spacing w:after="0" w:before="120" w:line="28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Справочно:</w:t>
      </w:r>
    </w:p>
    <w:p w:rsidR="00000000" w:rsidDel="00000000" w:rsidP="00000000" w:rsidRDefault="00000000" w:rsidRPr="00000000" w14:paraId="00000095">
      <w:pPr>
        <w:spacing w:after="120" w:line="280" w:lineRule="auto"/>
        <w:ind w:left="709" w:firstLine="709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В лидерах организованного въездного туризма – г.Минск, на долю которого приходится более 50% всего организованного въездного потока. При этом региональное обслуживание туристов неравномерное: за г.Минском следуют города Брест, Гродно, Гомель и Витебск. Регионы привлекают туристов своим лечебно-оздоровительным, а также историко-культурным и агроэкопотенциалом.</w:t>
      </w:r>
    </w:p>
    <w:p w:rsidR="00000000" w:rsidDel="00000000" w:rsidP="00000000" w:rsidRDefault="00000000" w:rsidRPr="00000000" w14:paraId="00000096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Туризм для регионов – это практическая экономика «на земле». Каждая поездка в туристических целях запускает цепочку расходов: размещение, питание, транспорт, объекты показа, сувениры, услуги гидов и экскурсоводов. В результате создаются рабочие места, развивается малый бизнес и агроэкотуризм, повышается загрузка инфраструктуры, формируется налоговая база и появляется ресурс для благоустройства территорий.</w:t>
      </w:r>
    </w:p>
    <w:p w:rsidR="00000000" w:rsidDel="00000000" w:rsidP="00000000" w:rsidRDefault="00000000" w:rsidRPr="00000000" w14:paraId="00000097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Таким образом, сегодня региональная политика направлена на повышение привлекательности для жизни, работы и бизнеса всех территорий, в том числе расположенных за пределами столицы и областных центров. Люди начинают ценить комфорт загородной жизни, а государство помогает ускорить этот процесс созданием современной инфраструктуры, доступными кредитами, хорошими дорогами, транспортным сообщением и др.</w:t>
      </w:r>
    </w:p>
    <w:p w:rsidR="00000000" w:rsidDel="00000000" w:rsidP="00000000" w:rsidRDefault="00000000" w:rsidRPr="00000000" w14:paraId="00000098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В целом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для региональной политики характерно эволюционное совершенствование приоритетов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: от развития всех территорий до комплексного развития каждого региона с концентрацией усилий на определенных регионах с учетом их специализации и конкурентных преимуществ. В этой связи большее внимание в 2021–2025 гг. уделялось:</w:t>
      </w:r>
    </w:p>
    <w:p w:rsidR="00000000" w:rsidDel="00000000" w:rsidP="00000000" w:rsidRDefault="00000000" w:rsidRPr="00000000" w14:paraId="00000099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регионам «80 плюс»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(с численностью населения 80 тыс. человек и более)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 Это города Барановичи и Пинск в Брестской области, г.Новополоцк, Оршанский и Полоцкий районы Витебской области, Мозырский район Гомельской области, Лидский район Гродненской области, Борисовский, Молодечненский и Солигорский районы Минской области, г.Бобруйск Могилевской области;</w:t>
      </w:r>
    </w:p>
    <w:p w:rsidR="00000000" w:rsidDel="00000000" w:rsidP="00000000" w:rsidRDefault="00000000" w:rsidRPr="00000000" w14:paraId="0000009A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отдельным районам, которые не в полной мере могут самостоятельно решать свои социально-экономические проблемы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(30 административно-территориальных единиц)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;</w:t>
      </w:r>
    </w:p>
    <w:p w:rsidR="00000000" w:rsidDel="00000000" w:rsidP="00000000" w:rsidRDefault="00000000" w:rsidRPr="00000000" w14:paraId="0000009B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отдельным регионам Брестской, Витебской, Гомельской и Могилевской областей в рамках указов Президента Республики Беларусь и решений Правительства, в которых осуществлялось точечное развитие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(например, районам Припятского Полесья Брестской и Гомельской областей, Оршанскому району в Витебской области, юго-восточному региону Могилевской области)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 И это правильно: присущие региону преимущества должны стать источником его развития.</w:t>
      </w:r>
    </w:p>
    <w:p w:rsidR="00000000" w:rsidDel="00000000" w:rsidP="00000000" w:rsidRDefault="00000000" w:rsidRPr="00000000" w14:paraId="0000009C">
      <w:pPr>
        <w:spacing w:after="0" w:before="120" w:line="226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****</w:t>
      </w:r>
    </w:p>
    <w:p w:rsidR="00000000" w:rsidDel="00000000" w:rsidP="00000000" w:rsidRDefault="00000000" w:rsidRPr="00000000" w14:paraId="0000009D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От перспектив развития каждого уголка родной Беларуси зависит, насколько крепким и процветающим будет наше государство, как успешно сможет справляться страна с современными вызовами и угрозами, насколько уверенными в завтрашнем дне будут белорусские граждане. Не случайно одним из семи приоритетов текущей пятилетки, определенных Программой социально-экономического развития Республики Беларусь на 2026–2030 гг., являются сильные регионы. </w:t>
      </w:r>
    </w:p>
    <w:p w:rsidR="00000000" w:rsidDel="00000000" w:rsidP="00000000" w:rsidRDefault="00000000" w:rsidRPr="00000000" w14:paraId="0000009E">
      <w:pPr>
        <w:spacing w:after="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Вместе с тем важно помнить, что только усердный труд каждого из нас на своем рабочем месте формирует светлое будущее страны и процветание отдельно взятого региона. Дисциплина, ответственность и самоотдача – фундамент благополучия Беларуси, объединяющий всех нас.</w:t>
      </w:r>
    </w:p>
    <w:p w:rsidR="00000000" w:rsidDel="00000000" w:rsidP="00000000" w:rsidRDefault="00000000" w:rsidRPr="00000000" w14:paraId="0000009F">
      <w:pPr>
        <w:spacing w:after="12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Слайд 16.</w:t>
      </w:r>
    </w:p>
    <w:p w:rsidR="00000000" w:rsidDel="00000000" w:rsidP="00000000" w:rsidRDefault="00000000" w:rsidRPr="00000000" w14:paraId="000000A0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</w:rPr>
        <w:drawing>
          <wp:inline distB="0" distT="0" distL="0" distR="0">
            <wp:extent cx="4572638" cy="2572109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before="120" w:line="23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Об этом неоднократно говорил и Президент страны.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30"/>
          <w:szCs w:val="30"/>
          <w:rtl w:val="0"/>
        </w:rPr>
        <w:t xml:space="preserve">«В каждой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прим.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– экономической программе]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30"/>
          <w:szCs w:val="30"/>
          <w:rtl w:val="0"/>
        </w:rPr>
        <w:t xml:space="preserve"> нами ставится неизменно правильная цель – рост благосостояния населения, –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ориентировал А.Г.Лукашенко 17 февраля 2026 г., принимая отчет Правительства за прошедший год.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30"/>
          <w:szCs w:val="30"/>
          <w:rtl w:val="0"/>
        </w:rPr>
        <w:t xml:space="preserve">– Качественный рост должен обеспечиваться эффективным трудом»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.</w:t>
      </w:r>
    </w:p>
    <w:p w:rsidR="00000000" w:rsidDel="00000000" w:rsidP="00000000" w:rsidRDefault="00000000" w:rsidRPr="00000000" w14:paraId="000000A2">
      <w:pPr>
        <w:spacing w:after="12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Слайд 17.</w:t>
      </w:r>
    </w:p>
    <w:p w:rsidR="00000000" w:rsidDel="00000000" w:rsidP="00000000" w:rsidRDefault="00000000" w:rsidRPr="00000000" w14:paraId="000000A3">
      <w:pPr>
        <w:spacing w:after="0" w:before="12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</w:rPr>
        <w:drawing>
          <wp:inline distB="0" distT="0" distL="0" distR="0">
            <wp:extent cx="4640665" cy="2610374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40665" cy="26103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23" w:type="default"/>
      <w:pgSz w:h="16838" w:w="11906" w:orient="portrait"/>
      <w:pgMar w:bottom="1134" w:top="1134" w:left="1701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5.png"/><Relationship Id="rId11" Type="http://schemas.openxmlformats.org/officeDocument/2006/relationships/image" Target="media/image7.png"/><Relationship Id="rId22" Type="http://schemas.openxmlformats.org/officeDocument/2006/relationships/image" Target="media/image17.png"/><Relationship Id="rId10" Type="http://schemas.openxmlformats.org/officeDocument/2006/relationships/image" Target="media/image4.png"/><Relationship Id="rId21" Type="http://schemas.openxmlformats.org/officeDocument/2006/relationships/image" Target="media/image16.png"/><Relationship Id="rId13" Type="http://schemas.openxmlformats.org/officeDocument/2006/relationships/image" Target="media/image9.png"/><Relationship Id="rId12" Type="http://schemas.openxmlformats.org/officeDocument/2006/relationships/image" Target="media/image6.png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12.png"/><Relationship Id="rId14" Type="http://schemas.openxmlformats.org/officeDocument/2006/relationships/image" Target="media/image8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5" Type="http://schemas.openxmlformats.org/officeDocument/2006/relationships/styles" Target="styles.xml"/><Relationship Id="rId19" Type="http://schemas.openxmlformats.org/officeDocument/2006/relationships/image" Target="media/image14.png"/><Relationship Id="rId6" Type="http://schemas.openxmlformats.org/officeDocument/2006/relationships/image" Target="media/image1.png"/><Relationship Id="rId18" Type="http://schemas.openxmlformats.org/officeDocument/2006/relationships/image" Target="media/image13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